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94" w:rsidRPr="00807805" w:rsidRDefault="00642E94" w:rsidP="00642E94">
      <w:pPr>
        <w:jc w:val="center"/>
        <w:rPr>
          <w:b/>
          <w:sz w:val="32"/>
          <w:szCs w:val="32"/>
        </w:rPr>
      </w:pPr>
      <w:bookmarkStart w:id="0" w:name="_Toc241027838"/>
      <w:bookmarkStart w:id="1" w:name="_Toc392404201"/>
      <w:r w:rsidRPr="00807805">
        <w:rPr>
          <w:rFonts w:hint="eastAsia"/>
          <w:b/>
          <w:sz w:val="32"/>
          <w:szCs w:val="32"/>
        </w:rPr>
        <w:t>新生醫護管理專科學校</w:t>
      </w:r>
      <w:bookmarkStart w:id="2" w:name="_Toc180827349"/>
      <w:bookmarkStart w:id="3" w:name="_Toc240425125"/>
      <w:bookmarkStart w:id="4" w:name="_Toc240429150"/>
      <w:r w:rsidRPr="00807805">
        <w:rPr>
          <w:rFonts w:hint="eastAsia"/>
          <w:b/>
          <w:sz w:val="32"/>
          <w:szCs w:val="32"/>
        </w:rPr>
        <w:t>應用英語</w:t>
      </w:r>
      <w:bookmarkStart w:id="5" w:name="_GoBack"/>
      <w:r w:rsidRPr="00807805">
        <w:rPr>
          <w:rFonts w:hint="eastAsia"/>
          <w:b/>
          <w:sz w:val="32"/>
          <w:szCs w:val="32"/>
        </w:rPr>
        <w:t>科</w:t>
      </w:r>
      <w:proofErr w:type="gramStart"/>
      <w:r w:rsidRPr="00807805">
        <w:rPr>
          <w:rFonts w:hint="eastAsia"/>
          <w:b/>
          <w:sz w:val="32"/>
          <w:szCs w:val="32"/>
        </w:rPr>
        <w:t>科務</w:t>
      </w:r>
      <w:proofErr w:type="gramEnd"/>
      <w:r w:rsidRPr="00807805">
        <w:rPr>
          <w:rFonts w:hint="eastAsia"/>
          <w:b/>
          <w:sz w:val="32"/>
          <w:szCs w:val="32"/>
        </w:rPr>
        <w:t>會議設置</w:t>
      </w:r>
      <w:bookmarkEnd w:id="0"/>
      <w:bookmarkEnd w:id="2"/>
      <w:bookmarkEnd w:id="3"/>
      <w:bookmarkEnd w:id="4"/>
      <w:r w:rsidRPr="00807805">
        <w:rPr>
          <w:rFonts w:hint="eastAsia"/>
          <w:b/>
          <w:sz w:val="32"/>
          <w:szCs w:val="32"/>
        </w:rPr>
        <w:t>辦法</w:t>
      </w:r>
      <w:bookmarkEnd w:id="1"/>
      <w:bookmarkEnd w:id="5"/>
    </w:p>
    <w:p w:rsidR="00642E94" w:rsidRDefault="00642E94" w:rsidP="00642E94">
      <w:pPr>
        <w:pStyle w:val="a3"/>
        <w:numPr>
          <w:ilvl w:val="2"/>
          <w:numId w:val="2"/>
        </w:numPr>
        <w:wordWrap w:val="0"/>
        <w:snapToGrid w:val="0"/>
        <w:spacing w:beforeLines="100" w:before="360" w:line="240" w:lineRule="atLeast"/>
        <w:ind w:leftChars="0" w:left="822" w:hanging="822"/>
        <w:jc w:val="right"/>
        <w:rPr>
          <w:kern w:val="0"/>
          <w:sz w:val="20"/>
          <w:szCs w:val="20"/>
        </w:rPr>
      </w:pPr>
      <w:r>
        <w:rPr>
          <w:rFonts w:hint="eastAsia"/>
          <w:kern w:val="0"/>
          <w:sz w:val="20"/>
          <w:szCs w:val="20"/>
        </w:rPr>
        <w:t xml:space="preserve"> </w:t>
      </w:r>
      <w:r w:rsidRPr="00785989">
        <w:rPr>
          <w:kern w:val="0"/>
          <w:sz w:val="20"/>
          <w:szCs w:val="20"/>
        </w:rPr>
        <w:t>100</w:t>
      </w:r>
      <w:r w:rsidRPr="00785989">
        <w:rPr>
          <w:rFonts w:hint="eastAsia"/>
          <w:kern w:val="0"/>
          <w:sz w:val="20"/>
          <w:szCs w:val="20"/>
        </w:rPr>
        <w:t>學年度第</w:t>
      </w:r>
      <w:r w:rsidRPr="00785989">
        <w:rPr>
          <w:kern w:val="0"/>
          <w:sz w:val="20"/>
          <w:szCs w:val="20"/>
        </w:rPr>
        <w:t>5</w:t>
      </w:r>
      <w:r w:rsidRPr="00785989">
        <w:rPr>
          <w:rFonts w:hint="eastAsia"/>
          <w:kern w:val="0"/>
          <w:sz w:val="20"/>
          <w:szCs w:val="20"/>
        </w:rPr>
        <w:t>次科</w:t>
      </w:r>
      <w:proofErr w:type="gramStart"/>
      <w:r w:rsidRPr="00785989">
        <w:rPr>
          <w:rFonts w:hint="eastAsia"/>
          <w:kern w:val="0"/>
          <w:sz w:val="20"/>
          <w:szCs w:val="20"/>
        </w:rPr>
        <w:t>務</w:t>
      </w:r>
      <w:proofErr w:type="gramEnd"/>
      <w:r w:rsidRPr="00785989">
        <w:rPr>
          <w:rFonts w:hint="eastAsia"/>
          <w:kern w:val="0"/>
          <w:sz w:val="20"/>
          <w:szCs w:val="20"/>
        </w:rPr>
        <w:t>會議通過</w:t>
      </w:r>
    </w:p>
    <w:p w:rsidR="00642E94" w:rsidRDefault="00642E94" w:rsidP="00642E94">
      <w:pPr>
        <w:wordWrap w:val="0"/>
        <w:snapToGrid w:val="0"/>
        <w:ind w:left="290" w:hangingChars="145" w:hanging="290"/>
        <w:jc w:val="right"/>
        <w:rPr>
          <w:kern w:val="0"/>
          <w:sz w:val="20"/>
          <w:szCs w:val="20"/>
        </w:rPr>
      </w:pPr>
      <w:r w:rsidRPr="00D2622E">
        <w:rPr>
          <w:kern w:val="0"/>
          <w:sz w:val="20"/>
          <w:szCs w:val="20"/>
        </w:rPr>
        <w:t>102.09.25 102</w:t>
      </w:r>
      <w:r w:rsidRPr="00D2622E">
        <w:rPr>
          <w:rFonts w:hint="eastAsia"/>
          <w:kern w:val="0"/>
          <w:sz w:val="20"/>
          <w:szCs w:val="20"/>
        </w:rPr>
        <w:t>學年度第</w:t>
      </w:r>
      <w:r>
        <w:rPr>
          <w:kern w:val="0"/>
          <w:sz w:val="20"/>
          <w:szCs w:val="20"/>
        </w:rPr>
        <w:t>3</w:t>
      </w:r>
      <w:r w:rsidRPr="00D2622E">
        <w:rPr>
          <w:rFonts w:hint="eastAsia"/>
          <w:kern w:val="0"/>
          <w:sz w:val="20"/>
          <w:szCs w:val="20"/>
        </w:rPr>
        <w:t>次科</w:t>
      </w:r>
      <w:proofErr w:type="gramStart"/>
      <w:r w:rsidRPr="00D2622E">
        <w:rPr>
          <w:rFonts w:hint="eastAsia"/>
          <w:kern w:val="0"/>
          <w:sz w:val="20"/>
          <w:szCs w:val="20"/>
        </w:rPr>
        <w:t>務</w:t>
      </w:r>
      <w:proofErr w:type="gramEnd"/>
      <w:r w:rsidRPr="00D2622E">
        <w:rPr>
          <w:rFonts w:hint="eastAsia"/>
          <w:kern w:val="0"/>
          <w:sz w:val="20"/>
          <w:szCs w:val="20"/>
        </w:rPr>
        <w:t>會議</w:t>
      </w:r>
      <w:r>
        <w:rPr>
          <w:rFonts w:hint="eastAsia"/>
          <w:kern w:val="0"/>
          <w:sz w:val="20"/>
          <w:szCs w:val="20"/>
        </w:rPr>
        <w:t>修正</w:t>
      </w:r>
      <w:r w:rsidRPr="00D2622E">
        <w:rPr>
          <w:rFonts w:hint="eastAsia"/>
          <w:kern w:val="0"/>
          <w:sz w:val="20"/>
          <w:szCs w:val="20"/>
        </w:rPr>
        <w:t>通過</w:t>
      </w:r>
    </w:p>
    <w:p w:rsidR="00642E94" w:rsidRDefault="00642E94" w:rsidP="00642E94">
      <w:pPr>
        <w:snapToGrid w:val="0"/>
        <w:ind w:left="290" w:hangingChars="145" w:hanging="290"/>
        <w:jc w:val="right"/>
        <w:rPr>
          <w:sz w:val="20"/>
        </w:rPr>
      </w:pPr>
      <w:r>
        <w:rPr>
          <w:sz w:val="20"/>
        </w:rPr>
        <w:t>102.10.16  102</w:t>
      </w:r>
      <w:r>
        <w:rPr>
          <w:rFonts w:hint="eastAsia"/>
          <w:sz w:val="20"/>
        </w:rPr>
        <w:t>學年度第</w:t>
      </w:r>
      <w:r>
        <w:rPr>
          <w:sz w:val="20"/>
        </w:rPr>
        <w:t>5</w:t>
      </w:r>
      <w:r>
        <w:rPr>
          <w:rFonts w:hint="eastAsia"/>
          <w:sz w:val="20"/>
        </w:rPr>
        <w:t>次科</w:t>
      </w:r>
      <w:proofErr w:type="gramStart"/>
      <w:r>
        <w:rPr>
          <w:rFonts w:hint="eastAsia"/>
          <w:sz w:val="20"/>
        </w:rPr>
        <w:t>務</w:t>
      </w:r>
      <w:proofErr w:type="gramEnd"/>
      <w:r>
        <w:rPr>
          <w:rFonts w:hint="eastAsia"/>
          <w:sz w:val="20"/>
        </w:rPr>
        <w:t>會議</w:t>
      </w:r>
      <w:r>
        <w:rPr>
          <w:rFonts w:hint="eastAsia"/>
          <w:kern w:val="0"/>
          <w:sz w:val="20"/>
          <w:szCs w:val="20"/>
        </w:rPr>
        <w:t>修正</w:t>
      </w:r>
      <w:r>
        <w:rPr>
          <w:rFonts w:hint="eastAsia"/>
          <w:sz w:val="20"/>
        </w:rPr>
        <w:t>通過</w:t>
      </w:r>
    </w:p>
    <w:p w:rsidR="00642E94" w:rsidRPr="0030773A" w:rsidRDefault="00642E94" w:rsidP="00642E94">
      <w:pPr>
        <w:snapToGrid w:val="0"/>
        <w:ind w:left="290" w:hangingChars="145" w:hanging="290"/>
        <w:jc w:val="right"/>
        <w:rPr>
          <w:kern w:val="0"/>
          <w:sz w:val="20"/>
          <w:szCs w:val="20"/>
        </w:rPr>
      </w:pPr>
      <w:r w:rsidRPr="0030773A">
        <w:rPr>
          <w:rFonts w:hint="eastAsia"/>
          <w:kern w:val="0"/>
          <w:sz w:val="20"/>
          <w:szCs w:val="20"/>
        </w:rPr>
        <w:t>102.12.04 102</w:t>
      </w:r>
      <w:r w:rsidRPr="0030773A">
        <w:rPr>
          <w:rFonts w:hint="eastAsia"/>
          <w:kern w:val="0"/>
          <w:sz w:val="20"/>
          <w:szCs w:val="20"/>
        </w:rPr>
        <w:t>學年度第</w:t>
      </w:r>
      <w:r w:rsidRPr="0030773A">
        <w:rPr>
          <w:rFonts w:hint="eastAsia"/>
          <w:kern w:val="0"/>
          <w:sz w:val="20"/>
          <w:szCs w:val="20"/>
        </w:rPr>
        <w:t>7</w:t>
      </w:r>
      <w:r w:rsidRPr="0030773A">
        <w:rPr>
          <w:rFonts w:hint="eastAsia"/>
          <w:kern w:val="0"/>
          <w:sz w:val="20"/>
          <w:szCs w:val="20"/>
        </w:rPr>
        <w:t>次科</w:t>
      </w:r>
      <w:proofErr w:type="gramStart"/>
      <w:r w:rsidRPr="0030773A">
        <w:rPr>
          <w:rFonts w:hint="eastAsia"/>
          <w:kern w:val="0"/>
          <w:sz w:val="20"/>
          <w:szCs w:val="20"/>
        </w:rPr>
        <w:t>務</w:t>
      </w:r>
      <w:proofErr w:type="gramEnd"/>
      <w:r w:rsidRPr="0030773A">
        <w:rPr>
          <w:rFonts w:hint="eastAsia"/>
          <w:kern w:val="0"/>
          <w:sz w:val="20"/>
          <w:szCs w:val="20"/>
        </w:rPr>
        <w:t>會議修正通過</w:t>
      </w:r>
    </w:p>
    <w:p w:rsidR="00642E94" w:rsidRPr="00A62625" w:rsidRDefault="00642E94" w:rsidP="00642E94">
      <w:pPr>
        <w:numPr>
          <w:ilvl w:val="0"/>
          <w:numId w:val="1"/>
        </w:numPr>
        <w:autoSpaceDE w:val="0"/>
        <w:autoSpaceDN w:val="0"/>
        <w:adjustRightInd w:val="0"/>
        <w:snapToGrid w:val="0"/>
        <w:spacing w:beforeLines="100" w:before="360" w:line="240" w:lineRule="atLeast"/>
        <w:ind w:left="1123" w:hanging="1123"/>
        <w:jc w:val="both"/>
        <w:rPr>
          <w:kern w:val="0"/>
          <w:sz w:val="28"/>
          <w:szCs w:val="28"/>
        </w:rPr>
      </w:pPr>
      <w:r w:rsidRPr="00A62625">
        <w:rPr>
          <w:rFonts w:hint="eastAsia"/>
          <w:kern w:val="0"/>
          <w:sz w:val="28"/>
          <w:szCs w:val="28"/>
        </w:rPr>
        <w:t>本校應用英語科（以下簡稱本科）科</w:t>
      </w:r>
      <w:proofErr w:type="gramStart"/>
      <w:r w:rsidRPr="00A62625">
        <w:rPr>
          <w:rFonts w:hint="eastAsia"/>
          <w:kern w:val="0"/>
          <w:sz w:val="28"/>
          <w:szCs w:val="28"/>
        </w:rPr>
        <w:t>務</w:t>
      </w:r>
      <w:proofErr w:type="gramEnd"/>
      <w:r w:rsidRPr="00A62625">
        <w:rPr>
          <w:rFonts w:hint="eastAsia"/>
          <w:kern w:val="0"/>
          <w:sz w:val="28"/>
          <w:szCs w:val="28"/>
        </w:rPr>
        <w:t>會議（以下簡稱本會）設置辦法（以下簡稱本辦法）係依據專科學校法第二十二條及本校組織規程第二十一條第一項第六款之規定訂定之。</w:t>
      </w:r>
    </w:p>
    <w:p w:rsidR="00642E94" w:rsidRPr="0030773A" w:rsidRDefault="00642E94" w:rsidP="00642E94">
      <w:pPr>
        <w:numPr>
          <w:ilvl w:val="0"/>
          <w:numId w:val="1"/>
        </w:numPr>
        <w:autoSpaceDE w:val="0"/>
        <w:autoSpaceDN w:val="0"/>
        <w:adjustRightInd w:val="0"/>
        <w:snapToGrid w:val="0"/>
        <w:spacing w:line="240" w:lineRule="atLeast"/>
        <w:ind w:left="1123" w:hanging="1123"/>
        <w:jc w:val="both"/>
        <w:rPr>
          <w:kern w:val="0"/>
          <w:sz w:val="28"/>
          <w:szCs w:val="28"/>
        </w:rPr>
      </w:pPr>
      <w:r w:rsidRPr="00D37D13">
        <w:rPr>
          <w:rFonts w:hint="eastAsia"/>
          <w:bCs/>
          <w:kern w:val="0"/>
          <w:sz w:val="28"/>
          <w:szCs w:val="28"/>
        </w:rPr>
        <w:t>本會由本科專任教師組成，必要時得</w:t>
      </w:r>
      <w:r w:rsidRPr="0030773A">
        <w:rPr>
          <w:rFonts w:hint="eastAsia"/>
          <w:bCs/>
          <w:kern w:val="0"/>
          <w:sz w:val="28"/>
          <w:szCs w:val="28"/>
        </w:rPr>
        <w:t>邀請合聘教師、兼任教師或其他相關人員列席。</w:t>
      </w:r>
    </w:p>
    <w:p w:rsidR="00642E94" w:rsidRPr="00252D24" w:rsidRDefault="00642E94" w:rsidP="00642E94">
      <w:pPr>
        <w:numPr>
          <w:ilvl w:val="0"/>
          <w:numId w:val="1"/>
        </w:numPr>
        <w:tabs>
          <w:tab w:val="clear" w:pos="1134"/>
        </w:tabs>
        <w:autoSpaceDE w:val="0"/>
        <w:autoSpaceDN w:val="0"/>
        <w:adjustRightInd w:val="0"/>
        <w:snapToGrid w:val="0"/>
        <w:spacing w:line="240" w:lineRule="atLeast"/>
        <w:ind w:left="1120" w:hangingChars="400" w:hanging="1120"/>
        <w:jc w:val="both"/>
        <w:rPr>
          <w:kern w:val="0"/>
          <w:sz w:val="28"/>
          <w:szCs w:val="28"/>
        </w:rPr>
      </w:pPr>
      <w:r w:rsidRPr="0030773A">
        <w:rPr>
          <w:rFonts w:ascii="標楷體" w:hAnsi="標楷體" w:hint="eastAsia"/>
          <w:sz w:val="28"/>
          <w:szCs w:val="28"/>
        </w:rPr>
        <w:t>本會討論審議下列相關事項：</w:t>
      </w:r>
      <w:r w:rsidRPr="0030773A">
        <w:rPr>
          <w:kern w:val="0"/>
          <w:sz w:val="28"/>
          <w:szCs w:val="28"/>
        </w:rPr>
        <w:br/>
      </w:r>
      <w:r w:rsidRPr="00A62625">
        <w:rPr>
          <w:rFonts w:hint="eastAsia"/>
          <w:sz w:val="28"/>
          <w:szCs w:val="28"/>
        </w:rPr>
        <w:t>一、本科相關規章之</w:t>
      </w:r>
      <w:proofErr w:type="gramStart"/>
      <w:r w:rsidRPr="00A62625">
        <w:rPr>
          <w:rFonts w:hint="eastAsia"/>
          <w:sz w:val="28"/>
          <w:szCs w:val="28"/>
        </w:rPr>
        <w:t>研</w:t>
      </w:r>
      <w:proofErr w:type="gramEnd"/>
      <w:r w:rsidRPr="00A62625">
        <w:rPr>
          <w:rFonts w:hint="eastAsia"/>
          <w:sz w:val="28"/>
          <w:szCs w:val="28"/>
        </w:rPr>
        <w:t>訂。</w:t>
      </w:r>
      <w:r w:rsidRPr="00A62625">
        <w:rPr>
          <w:sz w:val="28"/>
          <w:szCs w:val="28"/>
        </w:rPr>
        <w:br/>
      </w:r>
      <w:r w:rsidRPr="00A62625">
        <w:rPr>
          <w:rFonts w:hint="eastAsia"/>
          <w:sz w:val="28"/>
          <w:szCs w:val="28"/>
        </w:rPr>
        <w:t>二、</w:t>
      </w:r>
      <w:r w:rsidRPr="00A62625">
        <w:rPr>
          <w:rFonts w:ascii="標楷體" w:hAnsi="標楷體" w:hint="eastAsia"/>
          <w:sz w:val="28"/>
          <w:szCs w:val="28"/>
        </w:rPr>
        <w:t>本</w:t>
      </w:r>
      <w:r w:rsidRPr="00252D24">
        <w:rPr>
          <w:rFonts w:ascii="標楷體" w:hAnsi="標楷體" w:hint="eastAsia"/>
          <w:sz w:val="28"/>
          <w:szCs w:val="28"/>
        </w:rPr>
        <w:t>科</w:t>
      </w:r>
      <w:proofErr w:type="gramStart"/>
      <w:r w:rsidRPr="00252D24">
        <w:rPr>
          <w:rFonts w:ascii="標楷體" w:hAnsi="標楷體" w:hint="eastAsia"/>
          <w:sz w:val="28"/>
          <w:szCs w:val="28"/>
        </w:rPr>
        <w:t>科務</w:t>
      </w:r>
      <w:proofErr w:type="gramEnd"/>
      <w:r w:rsidRPr="00252D24">
        <w:rPr>
          <w:rFonts w:ascii="標楷體" w:hAnsi="標楷體" w:hint="eastAsia"/>
          <w:sz w:val="28"/>
          <w:szCs w:val="28"/>
        </w:rPr>
        <w:t>發展及年度計畫之擬訂。</w:t>
      </w:r>
      <w:r w:rsidRPr="00252D24">
        <w:rPr>
          <w:sz w:val="28"/>
          <w:szCs w:val="28"/>
        </w:rPr>
        <w:br/>
      </w:r>
      <w:r w:rsidRPr="00252D24">
        <w:rPr>
          <w:rFonts w:hint="eastAsia"/>
          <w:sz w:val="28"/>
          <w:szCs w:val="28"/>
        </w:rPr>
        <w:t>三、本科</w:t>
      </w:r>
      <w:proofErr w:type="gramStart"/>
      <w:r w:rsidRPr="00252D24">
        <w:rPr>
          <w:rFonts w:ascii="標楷體" w:hAnsi="標楷體" w:cs="DFKaiShu-SB-Estd-BF" w:hint="eastAsia"/>
          <w:bCs/>
          <w:kern w:val="0"/>
        </w:rPr>
        <w:t>科</w:t>
      </w:r>
      <w:r w:rsidRPr="00252D24">
        <w:rPr>
          <w:rFonts w:ascii="標楷體" w:hAnsi="標楷體" w:cs="DFKaiShu-SB-Estd-BF" w:hint="eastAsia"/>
          <w:bCs/>
          <w:kern w:val="0"/>
          <w:sz w:val="28"/>
          <w:szCs w:val="28"/>
        </w:rPr>
        <w:t>務</w:t>
      </w:r>
      <w:proofErr w:type="gramEnd"/>
      <w:r w:rsidRPr="00252D24">
        <w:rPr>
          <w:rFonts w:ascii="標楷體" w:hAnsi="標楷體" w:cs="DFKaiShu-SB-Estd-BF" w:hint="eastAsia"/>
          <w:bCs/>
          <w:kern w:val="0"/>
          <w:sz w:val="28"/>
          <w:szCs w:val="28"/>
        </w:rPr>
        <w:t>發展、課程規劃、設備採購、補救教學、技能檢定輔</w:t>
      </w:r>
    </w:p>
    <w:p w:rsidR="00642E94" w:rsidRPr="00252D24" w:rsidRDefault="00642E94" w:rsidP="00642E94">
      <w:pPr>
        <w:autoSpaceDE w:val="0"/>
        <w:autoSpaceDN w:val="0"/>
        <w:adjustRightInd w:val="0"/>
        <w:snapToGrid w:val="0"/>
        <w:spacing w:line="240" w:lineRule="atLeast"/>
        <w:ind w:left="1120"/>
        <w:jc w:val="both"/>
        <w:rPr>
          <w:kern w:val="0"/>
          <w:sz w:val="28"/>
          <w:szCs w:val="28"/>
        </w:rPr>
      </w:pPr>
      <w:r w:rsidRPr="00252D24">
        <w:rPr>
          <w:rFonts w:ascii="標楷體" w:hAnsi="標楷體" w:cs="DFKaiShu-SB-Estd-BF" w:hint="eastAsia"/>
          <w:bCs/>
          <w:kern w:val="0"/>
          <w:sz w:val="28"/>
          <w:szCs w:val="28"/>
        </w:rPr>
        <w:t xml:space="preserve">    導、校外實習</w:t>
      </w:r>
      <w:r w:rsidRPr="00252D24">
        <w:rPr>
          <w:rFonts w:hint="eastAsia"/>
          <w:sz w:val="28"/>
          <w:szCs w:val="28"/>
        </w:rPr>
        <w:t>及</w:t>
      </w:r>
      <w:proofErr w:type="gramStart"/>
      <w:r w:rsidRPr="00252D24">
        <w:rPr>
          <w:rFonts w:hint="eastAsia"/>
          <w:sz w:val="28"/>
          <w:szCs w:val="28"/>
        </w:rPr>
        <w:t>其他科</w:t>
      </w:r>
      <w:proofErr w:type="gramEnd"/>
      <w:r w:rsidRPr="00252D24">
        <w:rPr>
          <w:rFonts w:hint="eastAsia"/>
          <w:sz w:val="28"/>
          <w:szCs w:val="28"/>
        </w:rPr>
        <w:t>內重要事項。</w:t>
      </w:r>
      <w:r w:rsidRPr="00252D24">
        <w:rPr>
          <w:rFonts w:ascii="標楷體"/>
          <w:sz w:val="28"/>
          <w:szCs w:val="28"/>
        </w:rPr>
        <w:br/>
      </w:r>
      <w:r w:rsidRPr="00252D24">
        <w:rPr>
          <w:rFonts w:ascii="標楷體" w:hAnsi="標楷體" w:hint="eastAsia"/>
          <w:sz w:val="28"/>
          <w:szCs w:val="28"/>
        </w:rPr>
        <w:t>四、關於本科教師之聘任、升等、解聘、停聘、</w:t>
      </w:r>
      <w:proofErr w:type="gramStart"/>
      <w:r w:rsidRPr="00252D24">
        <w:rPr>
          <w:rFonts w:ascii="標楷體" w:hAnsi="標楷體" w:hint="eastAsia"/>
          <w:sz w:val="28"/>
          <w:szCs w:val="28"/>
        </w:rPr>
        <w:t>不</w:t>
      </w:r>
      <w:proofErr w:type="gramEnd"/>
      <w:r w:rsidRPr="00252D24">
        <w:rPr>
          <w:rFonts w:ascii="標楷體" w:hAnsi="標楷體" w:hint="eastAsia"/>
          <w:sz w:val="28"/>
          <w:szCs w:val="28"/>
        </w:rPr>
        <w:t>續聘、進修、</w:t>
      </w:r>
    </w:p>
    <w:p w:rsidR="00642E94" w:rsidRPr="00252D24" w:rsidRDefault="00642E94" w:rsidP="00642E94">
      <w:pPr>
        <w:autoSpaceDE w:val="0"/>
        <w:autoSpaceDN w:val="0"/>
        <w:adjustRightInd w:val="0"/>
        <w:snapToGrid w:val="0"/>
        <w:spacing w:line="240" w:lineRule="atLeast"/>
        <w:ind w:left="1680"/>
        <w:jc w:val="both"/>
        <w:rPr>
          <w:rFonts w:ascii="標楷體"/>
          <w:sz w:val="28"/>
          <w:szCs w:val="28"/>
        </w:rPr>
      </w:pPr>
      <w:r w:rsidRPr="00252D24">
        <w:rPr>
          <w:rFonts w:ascii="標楷體" w:hAnsi="標楷體" w:hint="eastAsia"/>
          <w:sz w:val="28"/>
          <w:szCs w:val="28"/>
        </w:rPr>
        <w:t>研究、發明、專門著作，資遣原因認定及其他應行提送學校教師評審委員會議評審事項之初審。</w:t>
      </w:r>
    </w:p>
    <w:p w:rsidR="00642E94" w:rsidRPr="00252D24" w:rsidRDefault="00642E94" w:rsidP="00642E94">
      <w:pPr>
        <w:autoSpaceDE w:val="0"/>
        <w:autoSpaceDN w:val="0"/>
        <w:adjustRightInd w:val="0"/>
        <w:snapToGrid w:val="0"/>
        <w:spacing w:line="240" w:lineRule="atLeast"/>
        <w:ind w:left="1120"/>
        <w:jc w:val="both"/>
        <w:rPr>
          <w:kern w:val="0"/>
          <w:sz w:val="28"/>
          <w:szCs w:val="28"/>
        </w:rPr>
      </w:pPr>
      <w:r w:rsidRPr="00252D24">
        <w:rPr>
          <w:rFonts w:ascii="標楷體" w:hAnsi="標楷體" w:hint="eastAsia"/>
          <w:sz w:val="28"/>
          <w:szCs w:val="28"/>
        </w:rPr>
        <w:t>五、研究重點、發展方向之釐訂與調整。</w:t>
      </w:r>
      <w:r w:rsidRPr="00252D24">
        <w:rPr>
          <w:rFonts w:ascii="標楷體"/>
          <w:sz w:val="28"/>
          <w:szCs w:val="28"/>
        </w:rPr>
        <w:br/>
      </w:r>
      <w:r w:rsidRPr="00252D24">
        <w:rPr>
          <w:rFonts w:hint="eastAsia"/>
          <w:sz w:val="28"/>
          <w:szCs w:val="28"/>
        </w:rPr>
        <w:t>六、</w:t>
      </w:r>
      <w:r w:rsidRPr="00252D24">
        <w:rPr>
          <w:rFonts w:ascii="標楷體" w:hAnsi="標楷體" w:hint="eastAsia"/>
          <w:sz w:val="28"/>
          <w:szCs w:val="28"/>
        </w:rPr>
        <w:t>評議教師違反教師法所訂教師應負之義務及重大獎懲事項。</w:t>
      </w:r>
      <w:r w:rsidRPr="00252D24">
        <w:rPr>
          <w:rFonts w:ascii="標楷體"/>
          <w:sz w:val="28"/>
          <w:szCs w:val="28"/>
        </w:rPr>
        <w:br/>
      </w:r>
      <w:r w:rsidRPr="00252D24">
        <w:rPr>
          <w:rFonts w:ascii="標楷體" w:hAnsi="標楷體" w:hint="eastAsia"/>
          <w:sz w:val="28"/>
          <w:szCs w:val="28"/>
        </w:rPr>
        <w:t>七、新生、轉學生、</w:t>
      </w:r>
      <w:proofErr w:type="gramStart"/>
      <w:r w:rsidRPr="00252D24">
        <w:rPr>
          <w:rFonts w:ascii="標楷體" w:hAnsi="標楷體" w:hint="eastAsia"/>
          <w:sz w:val="28"/>
          <w:szCs w:val="28"/>
        </w:rPr>
        <w:t>轉科生等</w:t>
      </w:r>
      <w:proofErr w:type="gramEnd"/>
      <w:r w:rsidRPr="00252D24">
        <w:rPr>
          <w:rFonts w:ascii="標楷體" w:hAnsi="標楷體" w:hint="eastAsia"/>
          <w:sz w:val="28"/>
          <w:szCs w:val="28"/>
        </w:rPr>
        <w:t>之招收事宜。</w:t>
      </w:r>
      <w:r w:rsidRPr="00252D24">
        <w:rPr>
          <w:rFonts w:ascii="標楷體"/>
          <w:sz w:val="28"/>
          <w:szCs w:val="28"/>
        </w:rPr>
        <w:br/>
      </w:r>
      <w:r w:rsidRPr="00252D24">
        <w:rPr>
          <w:rFonts w:ascii="標楷體" w:hAnsi="標楷體" w:hint="eastAsia"/>
          <w:sz w:val="28"/>
          <w:szCs w:val="28"/>
        </w:rPr>
        <w:t>八、經費之分配與運用原則。</w:t>
      </w:r>
      <w:r w:rsidRPr="00252D24">
        <w:rPr>
          <w:rFonts w:ascii="標楷體"/>
          <w:sz w:val="28"/>
          <w:szCs w:val="28"/>
        </w:rPr>
        <w:br/>
      </w:r>
      <w:r w:rsidRPr="00252D24">
        <w:rPr>
          <w:rFonts w:ascii="標楷體" w:hAnsi="標楷體" w:hint="eastAsia"/>
          <w:sz w:val="28"/>
          <w:szCs w:val="28"/>
        </w:rPr>
        <w:t>九、儀器與器材管理辦法之訂定。</w:t>
      </w:r>
      <w:r w:rsidRPr="00252D24">
        <w:rPr>
          <w:rFonts w:ascii="標楷體"/>
          <w:sz w:val="28"/>
          <w:szCs w:val="28"/>
        </w:rPr>
        <w:br/>
      </w:r>
      <w:r w:rsidRPr="00252D24">
        <w:rPr>
          <w:rFonts w:ascii="標楷體" w:hAnsi="標楷體" w:hint="eastAsia"/>
          <w:sz w:val="28"/>
          <w:szCs w:val="28"/>
        </w:rPr>
        <w:t>十、其他委員會之設置及其組織與權責。</w:t>
      </w:r>
      <w:r w:rsidRPr="00252D24">
        <w:rPr>
          <w:rFonts w:ascii="標楷體"/>
          <w:sz w:val="28"/>
          <w:szCs w:val="28"/>
        </w:rPr>
        <w:br/>
      </w:r>
      <w:r w:rsidRPr="00252D24">
        <w:rPr>
          <w:rFonts w:ascii="標楷體" w:hAnsi="標楷體" w:hint="eastAsia"/>
          <w:sz w:val="28"/>
          <w:szCs w:val="28"/>
        </w:rPr>
        <w:t>十一、其他依規定應經本會議審查之事項。</w:t>
      </w:r>
    </w:p>
    <w:p w:rsidR="00642E94" w:rsidRPr="00A62625" w:rsidRDefault="00642E94" w:rsidP="00642E94">
      <w:pPr>
        <w:numPr>
          <w:ilvl w:val="0"/>
          <w:numId w:val="1"/>
        </w:numPr>
        <w:autoSpaceDE w:val="0"/>
        <w:autoSpaceDN w:val="0"/>
        <w:adjustRightInd w:val="0"/>
        <w:snapToGrid w:val="0"/>
        <w:spacing w:line="240" w:lineRule="atLeast"/>
        <w:ind w:left="1123" w:hanging="1123"/>
        <w:jc w:val="both"/>
        <w:rPr>
          <w:kern w:val="0"/>
          <w:sz w:val="28"/>
          <w:szCs w:val="28"/>
        </w:rPr>
      </w:pPr>
      <w:r w:rsidRPr="00252D24">
        <w:rPr>
          <w:rFonts w:hint="eastAsia"/>
          <w:kern w:val="0"/>
          <w:sz w:val="28"/>
          <w:szCs w:val="28"/>
        </w:rPr>
        <w:t>本會每學期至</w:t>
      </w:r>
      <w:r w:rsidRPr="00A62625">
        <w:rPr>
          <w:rFonts w:hint="eastAsia"/>
          <w:kern w:val="0"/>
          <w:sz w:val="28"/>
          <w:szCs w:val="28"/>
        </w:rPr>
        <w:t>少召開二次，由科主任召集並主持之，必要時得召開臨時會議。</w:t>
      </w:r>
    </w:p>
    <w:p w:rsidR="00642E94" w:rsidRPr="00A62625" w:rsidRDefault="00642E94" w:rsidP="00642E94">
      <w:pPr>
        <w:numPr>
          <w:ilvl w:val="0"/>
          <w:numId w:val="1"/>
        </w:numPr>
        <w:autoSpaceDE w:val="0"/>
        <w:autoSpaceDN w:val="0"/>
        <w:adjustRightInd w:val="0"/>
        <w:snapToGrid w:val="0"/>
        <w:spacing w:line="240" w:lineRule="atLeast"/>
        <w:ind w:left="1123" w:hanging="1123"/>
        <w:jc w:val="both"/>
        <w:rPr>
          <w:kern w:val="0"/>
          <w:sz w:val="28"/>
          <w:szCs w:val="28"/>
        </w:rPr>
      </w:pPr>
      <w:r w:rsidRPr="00A62625">
        <w:rPr>
          <w:rFonts w:hint="eastAsia"/>
          <w:kern w:val="0"/>
          <w:sz w:val="28"/>
          <w:szCs w:val="28"/>
        </w:rPr>
        <w:t>本會應有三分之二以上委員出席方得開會，出席委員過半數同意，方得決議。討論提案如無異議時，得</w:t>
      </w:r>
      <w:proofErr w:type="gramStart"/>
      <w:r w:rsidRPr="00A62625">
        <w:rPr>
          <w:rFonts w:hint="eastAsia"/>
          <w:kern w:val="0"/>
          <w:sz w:val="28"/>
          <w:szCs w:val="28"/>
        </w:rPr>
        <w:t>採</w:t>
      </w:r>
      <w:proofErr w:type="gramEnd"/>
      <w:r w:rsidRPr="00A62625">
        <w:rPr>
          <w:rFonts w:hint="eastAsia"/>
          <w:kern w:val="0"/>
          <w:sz w:val="28"/>
          <w:szCs w:val="28"/>
        </w:rPr>
        <w:t>共識決。</w:t>
      </w:r>
    </w:p>
    <w:p w:rsidR="00642E94" w:rsidRDefault="00642E94" w:rsidP="00642E94">
      <w:pPr>
        <w:numPr>
          <w:ilvl w:val="0"/>
          <w:numId w:val="1"/>
        </w:numPr>
        <w:autoSpaceDE w:val="0"/>
        <w:autoSpaceDN w:val="0"/>
        <w:adjustRightInd w:val="0"/>
        <w:snapToGrid w:val="0"/>
        <w:spacing w:line="240" w:lineRule="atLeast"/>
        <w:jc w:val="both"/>
        <w:rPr>
          <w:rFonts w:hint="eastAsia"/>
          <w:kern w:val="0"/>
          <w:sz w:val="28"/>
          <w:szCs w:val="28"/>
        </w:rPr>
      </w:pPr>
      <w:r w:rsidRPr="00A62625">
        <w:rPr>
          <w:rFonts w:hint="eastAsia"/>
          <w:kern w:val="0"/>
          <w:sz w:val="28"/>
          <w:szCs w:val="28"/>
        </w:rPr>
        <w:t>本會議之內容涉及學生在校學習、生活、獎懲及其權利義務有關事項時，應邀請學生代表列席。</w:t>
      </w:r>
      <w:r w:rsidRPr="00252D24">
        <w:rPr>
          <w:rFonts w:hint="eastAsia"/>
          <w:kern w:val="0"/>
          <w:sz w:val="28"/>
          <w:szCs w:val="28"/>
        </w:rPr>
        <w:t>學生代表由科學生會推派之。</w:t>
      </w:r>
    </w:p>
    <w:p w:rsidR="000B5FFE" w:rsidRPr="00642E94" w:rsidRDefault="00642E94" w:rsidP="00642E94">
      <w:pPr>
        <w:numPr>
          <w:ilvl w:val="0"/>
          <w:numId w:val="1"/>
        </w:numPr>
        <w:autoSpaceDE w:val="0"/>
        <w:autoSpaceDN w:val="0"/>
        <w:adjustRightInd w:val="0"/>
        <w:snapToGrid w:val="0"/>
        <w:spacing w:line="240" w:lineRule="atLeast"/>
        <w:jc w:val="both"/>
        <w:rPr>
          <w:kern w:val="0"/>
          <w:sz w:val="28"/>
          <w:szCs w:val="28"/>
        </w:rPr>
      </w:pPr>
      <w:r w:rsidRPr="00642E94">
        <w:rPr>
          <w:rFonts w:ascii="標楷體" w:hAnsi="標楷體" w:hint="eastAsia"/>
          <w:sz w:val="28"/>
          <w:szCs w:val="28"/>
        </w:rPr>
        <w:t>本辦法經科</w:t>
      </w:r>
      <w:proofErr w:type="gramStart"/>
      <w:r w:rsidRPr="00642E94">
        <w:rPr>
          <w:rFonts w:ascii="標楷體" w:hAnsi="標楷體" w:hint="eastAsia"/>
          <w:sz w:val="28"/>
          <w:szCs w:val="28"/>
        </w:rPr>
        <w:t>務</w:t>
      </w:r>
      <w:proofErr w:type="gramEnd"/>
      <w:r w:rsidRPr="00642E94">
        <w:rPr>
          <w:rFonts w:ascii="標楷體" w:hAnsi="標楷體" w:hint="eastAsia"/>
          <w:sz w:val="28"/>
          <w:szCs w:val="28"/>
        </w:rPr>
        <w:t>會議通過，陳校長核定後公布實施，修訂時亦同。</w:t>
      </w:r>
    </w:p>
    <w:sectPr w:rsidR="000B5FFE" w:rsidRPr="00642E94" w:rsidSect="00642E94">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D79"/>
    <w:multiLevelType w:val="multilevel"/>
    <w:tmpl w:val="BFCA3AEA"/>
    <w:lvl w:ilvl="0">
      <w:start w:val="101"/>
      <w:numFmt w:val="decimal"/>
      <w:lvlText w:val="%1"/>
      <w:lvlJc w:val="left"/>
      <w:pPr>
        <w:ind w:left="825" w:hanging="825"/>
      </w:pPr>
      <w:rPr>
        <w:rFonts w:cs="Times New Roman" w:hint="default"/>
      </w:rPr>
    </w:lvl>
    <w:lvl w:ilvl="1">
      <w:start w:val="3"/>
      <w:numFmt w:val="decimalZero"/>
      <w:lvlText w:val="%1.%2"/>
      <w:lvlJc w:val="left"/>
      <w:pPr>
        <w:ind w:left="825" w:hanging="825"/>
      </w:pPr>
      <w:rPr>
        <w:rFonts w:cs="Times New Roman" w:hint="default"/>
      </w:rPr>
    </w:lvl>
    <w:lvl w:ilvl="2">
      <w:start w:val="8"/>
      <w:numFmt w:val="decimalZero"/>
      <w:lvlText w:val="%1.%2.%3"/>
      <w:lvlJc w:val="left"/>
      <w:pPr>
        <w:ind w:left="825" w:hanging="825"/>
      </w:pPr>
      <w:rPr>
        <w:rFonts w:cs="Times New Roman" w:hint="default"/>
      </w:rPr>
    </w:lvl>
    <w:lvl w:ilvl="3">
      <w:start w:val="1"/>
      <w:numFmt w:val="decimal"/>
      <w:lvlText w:val="%1.%2.%3.%4"/>
      <w:lvlJc w:val="left"/>
      <w:pPr>
        <w:ind w:left="825" w:hanging="825"/>
      </w:pPr>
      <w:rPr>
        <w:rFonts w:cs="Times New Roman" w:hint="default"/>
      </w:rPr>
    </w:lvl>
    <w:lvl w:ilvl="4">
      <w:start w:val="1"/>
      <w:numFmt w:val="decimal"/>
      <w:lvlText w:val="%1.%2.%3.%4.%5"/>
      <w:lvlJc w:val="left"/>
      <w:pPr>
        <w:ind w:left="825" w:hanging="825"/>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57BB72E5"/>
    <w:multiLevelType w:val="hybridMultilevel"/>
    <w:tmpl w:val="07104DF8"/>
    <w:lvl w:ilvl="0" w:tplc="40D48DF6">
      <w:start w:val="1"/>
      <w:numFmt w:val="taiwaneseCountingThousand"/>
      <w:lvlText w:val="第%1條"/>
      <w:lvlJc w:val="left"/>
      <w:pPr>
        <w:tabs>
          <w:tab w:val="num" w:pos="1134"/>
        </w:tabs>
        <w:ind w:left="1106" w:hanging="1125"/>
      </w:pPr>
      <w:rPr>
        <w:rFonts w:ascii="標楷體" w:eastAsia="標楷體" w:hAnsi="標楷體"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94"/>
    <w:rsid w:val="000B5FFE"/>
    <w:rsid w:val="002B67C8"/>
    <w:rsid w:val="00642E94"/>
    <w:rsid w:val="008E4547"/>
    <w:rsid w:val="009912D4"/>
    <w:rsid w:val="00E77818"/>
    <w:rsid w:val="00EB6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94"/>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E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94"/>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新生醫護管理專科學校</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2014-12-12T05:53:00Z</dcterms:created>
  <dcterms:modified xsi:type="dcterms:W3CDTF">2014-12-12T05:53:00Z</dcterms:modified>
</cp:coreProperties>
</file>